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81" w:rsidRPr="00986EB8" w:rsidRDefault="009D7781" w:rsidP="009D7781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r w:rsidRPr="00BA60B8">
        <w:rPr>
          <w:rFonts w:ascii="Times New Roman" w:hAnsi="Times New Roman"/>
          <w:b/>
          <w:sz w:val="24"/>
          <w:szCs w:val="24"/>
          <w:lang w:val="lt-LT"/>
        </w:rPr>
        <w:t>ūrinių sąrašas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pagal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atnaujintas programas (rusų kl.)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11-12 kl. </w:t>
      </w:r>
    </w:p>
    <w:p w:rsidR="009D7781" w:rsidRPr="00EE5261" w:rsidRDefault="009D7781" w:rsidP="009D7781">
      <w:pPr>
        <w:rPr>
          <w:rFonts w:ascii="Times New Roman" w:hAnsi="Times New Roman"/>
          <w:b/>
          <w:sz w:val="24"/>
          <w:szCs w:val="24"/>
          <w:lang w:val="lt-LT"/>
        </w:rPr>
      </w:pPr>
      <w:r w:rsidRPr="00EE5261">
        <w:rPr>
          <w:rFonts w:ascii="Times New Roman" w:hAnsi="Times New Roman"/>
          <w:b/>
          <w:sz w:val="24"/>
          <w:szCs w:val="24"/>
          <w:lang w:val="lt-LT"/>
        </w:rPr>
        <w:t>11 klasė</w:t>
      </w:r>
    </w:p>
    <w:p w:rsidR="009D7781" w:rsidRPr="009D7781" w:rsidRDefault="009D7781" w:rsidP="009D778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  <w:hyperlink r:id="rId4" w:anchor="collapse-simple-Nz9R-44pI-0474" w:history="1"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Privalom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k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ū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rini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ą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ra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š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as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:</w:t>
        </w:r>
      </w:hyperlink>
    </w:p>
    <w:p w:rsidR="009D7781" w:rsidRPr="00EE526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Н. Гоголь „Мертвые души“, </w:t>
      </w:r>
    </w:p>
    <w:p w:rsidR="009D7781" w:rsidRPr="00EE526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Ф. Достоевский „Преступление и наказание“, </w:t>
      </w:r>
    </w:p>
    <w:p w:rsidR="009D7781" w:rsidRPr="00EE526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Л. Толстой „Война и мир“, </w:t>
      </w:r>
    </w:p>
    <w:p w:rsidR="009D7781" w:rsidRPr="00EE526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И. Тургенев „Отцы и дети“, </w:t>
      </w:r>
      <w:bookmarkStart w:id="0" w:name="_GoBack"/>
      <w:bookmarkEnd w:id="0"/>
    </w:p>
    <w:p w:rsidR="009D7781" w:rsidRPr="00EE526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Ф. Тютчев (</w:t>
      </w:r>
      <w:proofErr w:type="spellStart"/>
      <w:r w:rsidRPr="00EE526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lyrika</w:t>
      </w:r>
      <w:proofErr w:type="spellEnd"/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), </w:t>
      </w:r>
    </w:p>
    <w:p w:rsidR="009D7781" w:rsidRDefault="009D7781" w:rsidP="009D77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E5261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В. Шекспир „Гамлет“.</w:t>
      </w:r>
    </w:p>
    <w:p w:rsidR="009D7781" w:rsidRPr="00986EB8" w:rsidRDefault="009D7781" w:rsidP="009D7781">
      <w:pPr>
        <w:shd w:val="clear" w:color="auto" w:fill="FFFFFF"/>
        <w:spacing w:after="0" w:line="36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986EB8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12 </w:t>
      </w:r>
      <w:proofErr w:type="spellStart"/>
      <w:r w:rsidRPr="006865B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klas</w:t>
      </w:r>
      <w:proofErr w:type="spellEnd"/>
      <w:r w:rsidRPr="00986EB8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ė</w:t>
      </w:r>
    </w:p>
    <w:p w:rsidR="009D7781" w:rsidRPr="009D7781" w:rsidRDefault="009D7781" w:rsidP="009D778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  <w:hyperlink r:id="rId5" w:anchor="collapse-simple-Nz9R-44pI-0474" w:history="1"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Privalom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k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ū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rini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ą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ra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š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as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:</w:t>
        </w:r>
      </w:hyperlink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Л. Андреев „Красный смех“,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А. Ахматова „Реквием“, (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lyrika</w:t>
      </w:r>
      <w:proofErr w:type="spellEnd"/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А. Блок „Двенадцать“ (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lyrika</w:t>
      </w:r>
      <w:proofErr w:type="spellEnd"/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И. Бродский „Пилигримы“, „Литовский дивертисмент“,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М. Булгаков „Мастер и Маргарита“,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И. Бунин „Легкое дыхание“, „Антоновские яблоки“,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С. Есенин (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lyrika</w:t>
      </w:r>
      <w:proofErr w:type="spellEnd"/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), </w:t>
      </w:r>
    </w:p>
    <w:p w:rsidR="009D7781" w:rsidRPr="009D7781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А. Чехов „Вишневый сад“, „</w:t>
      </w:r>
      <w:proofErr w:type="spellStart"/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Ионыч</w:t>
      </w:r>
      <w:proofErr w:type="spellEnd"/>
      <w:r w:rsidRPr="009D778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“, </w:t>
      </w:r>
    </w:p>
    <w:p w:rsidR="009D7781" w:rsidRPr="006865B6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А. Кафка „Превращение“, </w:t>
      </w:r>
    </w:p>
    <w:p w:rsidR="009D7781" w:rsidRPr="006865B6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Маяковский „Облако в штанах“, </w:t>
      </w:r>
    </w:p>
    <w:p w:rsidR="009D7781" w:rsidRPr="006865B6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А. Солженицын „Матренин двор“, </w:t>
      </w:r>
    </w:p>
    <w:p w:rsidR="009D7781" w:rsidRPr="006865B6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В. Шаламов „Прокуратор Иудеи“, „Ягоды“, </w:t>
      </w:r>
    </w:p>
    <w:p w:rsidR="009D7781" w:rsidRPr="006865B6" w:rsidRDefault="009D7781" w:rsidP="009D7781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1-2 š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iuolaikini</w:t>
      </w:r>
      <w:proofErr w:type="spellEnd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ų 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autori</w:t>
      </w:r>
      <w:proofErr w:type="spellEnd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ų </w:t>
      </w: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</w:t>
      </w:r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ū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riniai</w:t>
      </w:r>
      <w:proofErr w:type="spellEnd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(В. Сорокин, В. Пелевин, Л. Улицкая, Т. Толстая 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ir</w:t>
      </w:r>
      <w:proofErr w:type="spellEnd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kt</w:t>
      </w:r>
      <w:proofErr w:type="spellEnd"/>
      <w:r w:rsidRPr="006865B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.).</w:t>
      </w:r>
    </w:p>
    <w:p w:rsidR="009D7781" w:rsidRPr="00EE5261" w:rsidRDefault="009D7781" w:rsidP="009D7781">
      <w:pPr>
        <w:rPr>
          <w:rFonts w:ascii="Times New Roman" w:hAnsi="Times New Roman"/>
          <w:b/>
          <w:sz w:val="24"/>
          <w:szCs w:val="24"/>
          <w:lang w:val="lt-LT"/>
        </w:rPr>
      </w:pPr>
      <w:r w:rsidRPr="00EE5261">
        <w:rPr>
          <w:rFonts w:ascii="Times New Roman" w:hAnsi="Times New Roman"/>
          <w:b/>
          <w:sz w:val="24"/>
          <w:szCs w:val="24"/>
          <w:lang w:val="lt-LT"/>
        </w:rPr>
        <w:t xml:space="preserve">11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ir 12 </w:t>
      </w:r>
      <w:r w:rsidRPr="00EE5261">
        <w:rPr>
          <w:rFonts w:ascii="Times New Roman" w:hAnsi="Times New Roman"/>
          <w:b/>
          <w:sz w:val="24"/>
          <w:szCs w:val="24"/>
          <w:lang w:val="lt-LT"/>
        </w:rPr>
        <w:t>klas</w:t>
      </w:r>
      <w:r>
        <w:rPr>
          <w:rFonts w:ascii="Times New Roman" w:hAnsi="Times New Roman"/>
          <w:b/>
          <w:sz w:val="24"/>
          <w:szCs w:val="24"/>
          <w:lang w:val="lt-LT"/>
        </w:rPr>
        <w:t>ių</w:t>
      </w:r>
    </w:p>
    <w:p w:rsidR="009D7781" w:rsidRPr="009D7781" w:rsidRDefault="009D7781" w:rsidP="009D77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  <w:hyperlink r:id="rId6" w:anchor="collapse-simple-V4z0-lAp5-H858" w:history="1"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Rekomenduojam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k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ū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rini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 xml:space="preserve">ų 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ą</w:t>
        </w:r>
        <w:proofErr w:type="spellStart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ra</w:t>
        </w:r>
        <w:proofErr w:type="spellEnd"/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š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en-GB"/>
          </w:rPr>
          <w:t>as</w:t>
        </w:r>
        <w:r w:rsidRPr="009D7781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ru-RU" w:eastAsia="en-GB"/>
          </w:rPr>
          <w:t>:</w:t>
        </w:r>
      </w:hyperlink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А. Данте „Божественная комедия“ („Ад“),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И. Гете „Фауст“,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А. Пушкин „Сцена из Фауста“,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О. Бальзак „Гобсек“,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И. Гончаров „Обломов“,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Ф. Достоевский „Легенда о великом инквизиторе“,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Ф. Ницше „Так говорил Заратустра“,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Л. Толстой „Анна Каренина“,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А. Фет (</w:t>
      </w:r>
      <w:proofErr w:type="spellStart"/>
      <w:r w:rsidRPr="00E56303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lyrika</w:t>
      </w:r>
      <w:proofErr w:type="spell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),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С. Есенин „Черный человек“,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Е. Замятин „Мы“, Дж. Оруэлл „1984“,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A</w:t>
      </w: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. Камю „</w:t>
      </w:r>
      <w:proofErr w:type="gramStart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Чума“</w:t>
      </w:r>
      <w:proofErr w:type="gram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Набоков „Лекции по русской литературе“,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Р. Гари „Обещание на рассвете“,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Распутин „Живи и помни“,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Шукшин „Срезал“, „Миль пардон, мадам“,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Тендряков „Донна Анна“,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lastRenderedPageBreak/>
        <w:t xml:space="preserve">В. Шаламов „Житие инженера </w:t>
      </w:r>
      <w:proofErr w:type="spellStart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Кипреева</w:t>
      </w:r>
      <w:proofErr w:type="spell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“, „Сентенция“, „Воскрешение лиственницы“, „Стланик“, Л. Петрушевская „Время ночь“, М. Степнова „Сад“,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Д. Быков „Лекции по литературе“,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Сорокин „Метель“,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Т. Толстая „Ночь“, „Река Оккервиль“, „Памяти Бродского“,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Л. Улицкая „Дочь Бухары“, „Сонечка“, „Пиковая дама“, „Даниэль Штайн, переводчик“,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В. Пелевин „Ника“,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Г. </w:t>
      </w:r>
      <w:proofErr w:type="spellStart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Канович</w:t>
      </w:r>
      <w:proofErr w:type="spell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, П. </w:t>
      </w:r>
      <w:proofErr w:type="spellStart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Вайль</w:t>
      </w:r>
      <w:proofErr w:type="spell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, А. </w:t>
      </w:r>
      <w:proofErr w:type="spellStart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>Генис</w:t>
      </w:r>
      <w:proofErr w:type="spellEnd"/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 „Родная речь“,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И. Маковская, А. Фомин „Русские в истории и культуре Литвы“, </w:t>
      </w:r>
    </w:p>
    <w:p w:rsidR="009D7781" w:rsidRPr="00E56303" w:rsidRDefault="009D7781" w:rsidP="009D77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М. Ивашкявичюс „Спящие“, </w:t>
      </w:r>
    </w:p>
    <w:p w:rsidR="009D7781" w:rsidRPr="006865B6" w:rsidRDefault="009D7781" w:rsidP="009D7781">
      <w:pPr>
        <w:rPr>
          <w:rFonts w:ascii="Times New Roman" w:hAnsi="Times New Roman"/>
          <w:sz w:val="24"/>
          <w:szCs w:val="24"/>
          <w:lang w:val="ru-RU"/>
        </w:rPr>
      </w:pPr>
      <w:r w:rsidRPr="00E56303">
        <w:rPr>
          <w:rFonts w:ascii="Times New Roman" w:eastAsia="Times New Roman" w:hAnsi="Times New Roman"/>
          <w:color w:val="333333"/>
          <w:sz w:val="24"/>
          <w:szCs w:val="24"/>
          <w:lang w:val="ru-RU" w:eastAsia="en-GB"/>
        </w:rPr>
        <w:t xml:space="preserve">Макс Фрай „Сказки старого Вильнюса“ </w:t>
      </w:r>
    </w:p>
    <w:p w:rsidR="00EB516B" w:rsidRPr="009D7781" w:rsidRDefault="00EB516B">
      <w:pPr>
        <w:rPr>
          <w:lang w:val="ru-RU"/>
        </w:rPr>
      </w:pPr>
    </w:p>
    <w:sectPr w:rsidR="00EB516B" w:rsidRPr="009D7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81"/>
    <w:rsid w:val="009D7781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7676"/>
  <w15:chartTrackingRefBased/>
  <w15:docId w15:val="{553A6D9F-33F4-4A0E-ADBB-3445D86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D7781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kykla.lt/bendrosios-programos/visos-bendrosios-programos/25?types=7&amp;clases=&amp;educations=" TargetMode="External"/><Relationship Id="rId5" Type="http://schemas.openxmlformats.org/officeDocument/2006/relationships/hyperlink" Target="https://emokykla.lt/bendrosios-programos/visos-bendrosios-programos/25?types=7&amp;clases=&amp;educations=" TargetMode="External"/><Relationship Id="rId4" Type="http://schemas.openxmlformats.org/officeDocument/2006/relationships/hyperlink" Target="https://emokykla.lt/bendrosios-programos/visos-bendrosios-programos/25?types=7&amp;clases=&amp;educations=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2024-06-28T09:11:00Z</dcterms:created>
  <dcterms:modified xsi:type="dcterms:W3CDTF">2024-06-28T09:14:00Z</dcterms:modified>
</cp:coreProperties>
</file>